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185723" w:rsidRPr="0085492C" w14:paraId="724B59BF" w14:textId="77777777" w:rsidTr="00A956D6">
        <w:tc>
          <w:tcPr>
            <w:tcW w:w="2835" w:type="dxa"/>
            <w:vAlign w:val="bottom"/>
          </w:tcPr>
          <w:p w14:paraId="47C1A8E0" w14:textId="61681B79" w:rsidR="00185723" w:rsidRPr="0085492C" w:rsidRDefault="00185723" w:rsidP="00185723">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9D31C67" w:rsidR="00185723" w:rsidRPr="004F1E8F" w:rsidRDefault="00185723" w:rsidP="00185723">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14</w:t>
            </w:r>
          </w:p>
        </w:tc>
        <w:tc>
          <w:tcPr>
            <w:tcW w:w="142" w:type="dxa"/>
            <w:vAlign w:val="bottom"/>
          </w:tcPr>
          <w:p w14:paraId="086165B7" w14:textId="77777777" w:rsidR="00185723" w:rsidRPr="0085492C" w:rsidRDefault="00185723" w:rsidP="00185723">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52F56AC4" w:rsidR="00185723" w:rsidRPr="004F1E8F" w:rsidRDefault="00185723" w:rsidP="00185723">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декабря</w:t>
            </w:r>
          </w:p>
        </w:tc>
        <w:tc>
          <w:tcPr>
            <w:tcW w:w="425" w:type="dxa"/>
            <w:vAlign w:val="bottom"/>
          </w:tcPr>
          <w:p w14:paraId="43EF5E1C" w14:textId="77777777" w:rsidR="00185723" w:rsidRPr="0085492C" w:rsidRDefault="00185723" w:rsidP="00185723">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185723" w:rsidRPr="0085492C" w:rsidRDefault="00185723" w:rsidP="00185723">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185723" w:rsidRPr="0085492C" w:rsidRDefault="00185723" w:rsidP="00185723">
            <w:pPr>
              <w:autoSpaceDE w:val="0"/>
              <w:autoSpaceDN w:val="0"/>
              <w:spacing w:after="0" w:line="240" w:lineRule="auto"/>
              <w:rPr>
                <w:rFonts w:ascii="Times New Roman" w:hAnsi="Times New Roman"/>
                <w:b/>
                <w:color w:val="000000" w:themeColor="text1"/>
                <w:sz w:val="18"/>
                <w:szCs w:val="18"/>
              </w:rPr>
            </w:pPr>
          </w:p>
          <w:p w14:paraId="3A052438" w14:textId="77777777" w:rsidR="00185723" w:rsidRPr="0085492C" w:rsidRDefault="00185723" w:rsidP="00185723">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D9C8A99" w:rsidR="00105C45" w:rsidRPr="00CE450D" w:rsidRDefault="00F55AA1"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449FBDCE" w:rsidR="00105C45" w:rsidRPr="00CE450D" w:rsidRDefault="002D0097"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4D077C18"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F55AA1" w:rsidRPr="00F55AA1">
        <w:rPr>
          <w:rFonts w:ascii="Times New Roman" w:hAnsi="Times New Roman"/>
          <w:b/>
          <w:bCs/>
          <w:i/>
          <w:iCs/>
          <w:sz w:val="24"/>
          <w:szCs w:val="24"/>
        </w:rPr>
        <w:t>7</w:t>
      </w:r>
      <w:r w:rsidR="002D0097" w:rsidRPr="002D0097">
        <w:rPr>
          <w:rFonts w:ascii="Times New Roman" w:hAnsi="Times New Roman"/>
          <w:b/>
          <w:bCs/>
          <w:i/>
          <w:iCs/>
          <w:sz w:val="24"/>
          <w:szCs w:val="24"/>
        </w:rPr>
        <w:t>9</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52E33E52" w14:textId="49F513CC" w:rsidR="00F55AA1" w:rsidRPr="00F55AA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671D52A2" w14:textId="49121F00" w:rsidR="00341BFD"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73C1D23" w14:textId="54F3DFBA" w:rsidR="00341BFD" w:rsidRPr="0085492C" w:rsidRDefault="00341BFD"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341BFD">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72DAAB93"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A055A71"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65CA6D40"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F55AA1" w:rsidRPr="00E70914">
        <w:rPr>
          <w:rFonts w:ascii="Times New Roman" w:hAnsi="Times New Roman"/>
          <w:b/>
          <w:bCs/>
          <w:i/>
          <w:iCs/>
          <w:sz w:val="24"/>
          <w:szCs w:val="24"/>
        </w:rPr>
        <w:t>7</w:t>
      </w:r>
      <w:r w:rsidR="002D0097" w:rsidRPr="00185723">
        <w:rPr>
          <w:rFonts w:ascii="Times New Roman" w:hAnsi="Times New Roman"/>
          <w:b/>
          <w:bCs/>
          <w:i/>
          <w:iCs/>
          <w:sz w:val="24"/>
          <w:szCs w:val="24"/>
        </w:rPr>
        <w:t>9</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lastRenderedPageBreak/>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0BD185AE" w:rsidR="00EF66D0"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FCF2CA9"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8B6F89"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lastRenderedPageBreak/>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lastRenderedPageBreak/>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w:t>
      </w:r>
      <w:r w:rsidRPr="0085492C">
        <w:rPr>
          <w:rFonts w:ascii="Times New Roman" w:hAnsi="Times New Roman" w:cs="Times New Roman"/>
          <w:sz w:val="24"/>
          <w:szCs w:val="24"/>
        </w:rPr>
        <w:lastRenderedPageBreak/>
        <w:t>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lastRenderedPageBreak/>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046DD5C8" w:rsidR="003A689F"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F7495D"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lastRenderedPageBreak/>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49364B5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w:t>
      </w:r>
      <w:r w:rsidR="00B14902" w:rsidRPr="00DE58D9">
        <w:rPr>
          <w:rFonts w:ascii="Times New Roman" w:hAnsi="Times New Roman"/>
          <w:bCs/>
          <w:iCs/>
          <w:sz w:val="24"/>
          <w:szCs w:val="24"/>
        </w:rPr>
        <w:lastRenderedPageBreak/>
        <w:t>досрочного погашения) будет определен решением Эмитента о размере (порядок определения размера) дополнительного дохода.</w:t>
      </w:r>
    </w:p>
    <w:p w14:paraId="56E7C3E9" w14:textId="263A3781" w:rsidR="00752C10"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4D2E069F" w14:textId="77777777" w:rsidR="00F55AA1" w:rsidRPr="00E70914" w:rsidRDefault="00F55AA1" w:rsidP="00B67C22">
      <w:pPr>
        <w:autoSpaceDE w:val="0"/>
        <w:autoSpaceDN w:val="0"/>
        <w:adjustRightInd w:val="0"/>
        <w:spacing w:before="120" w:after="120" w:line="240" w:lineRule="auto"/>
        <w:ind w:firstLine="540"/>
        <w:jc w:val="both"/>
        <w:rPr>
          <w:rFonts w:ascii="Times New Roman" w:hAnsi="Times New Roman"/>
          <w:b/>
          <w:bCs/>
          <w:iCs/>
          <w:sz w:val="24"/>
          <w:szCs w:val="24"/>
        </w:rPr>
      </w:pP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4FEE3" w14:textId="77777777" w:rsidR="0083417D" w:rsidRDefault="0083417D" w:rsidP="00B97F78">
      <w:pPr>
        <w:spacing w:after="0" w:line="240" w:lineRule="auto"/>
      </w:pPr>
      <w:r>
        <w:separator/>
      </w:r>
    </w:p>
  </w:endnote>
  <w:endnote w:type="continuationSeparator" w:id="0">
    <w:p w14:paraId="17D522F1" w14:textId="77777777" w:rsidR="0083417D" w:rsidRDefault="0083417D" w:rsidP="00B97F78">
      <w:pPr>
        <w:spacing w:after="0" w:line="240" w:lineRule="auto"/>
      </w:pPr>
      <w:r>
        <w:continuationSeparator/>
      </w:r>
    </w:p>
  </w:endnote>
  <w:endnote w:type="continuationNotice" w:id="1">
    <w:p w14:paraId="2D748CD9" w14:textId="77777777" w:rsidR="0083417D" w:rsidRDefault="008341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6B4BE34A"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7B0EBB">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AFE54" w14:textId="77777777" w:rsidR="0083417D" w:rsidRDefault="0083417D" w:rsidP="00B97F78">
      <w:pPr>
        <w:spacing w:after="0" w:line="240" w:lineRule="auto"/>
      </w:pPr>
      <w:r>
        <w:separator/>
      </w:r>
    </w:p>
  </w:footnote>
  <w:footnote w:type="continuationSeparator" w:id="0">
    <w:p w14:paraId="3CBBF62B" w14:textId="77777777" w:rsidR="0083417D" w:rsidRDefault="0083417D" w:rsidP="00B97F78">
      <w:pPr>
        <w:spacing w:after="0" w:line="240" w:lineRule="auto"/>
      </w:pPr>
      <w:r>
        <w:continuationSeparator/>
      </w:r>
    </w:p>
  </w:footnote>
  <w:footnote w:type="continuationNotice" w:id="1">
    <w:p w14:paraId="49220BD2" w14:textId="77777777" w:rsidR="0083417D" w:rsidRDefault="008341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7580"/>
    <w:rsid w:val="00171971"/>
    <w:rsid w:val="00181B02"/>
    <w:rsid w:val="00185723"/>
    <w:rsid w:val="0018646C"/>
    <w:rsid w:val="00195303"/>
    <w:rsid w:val="001A28D1"/>
    <w:rsid w:val="001A6984"/>
    <w:rsid w:val="001A6C83"/>
    <w:rsid w:val="001B0533"/>
    <w:rsid w:val="001B1A6F"/>
    <w:rsid w:val="001B4772"/>
    <w:rsid w:val="001B5689"/>
    <w:rsid w:val="001B78C4"/>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0097"/>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B7"/>
    <w:rsid w:val="007818E9"/>
    <w:rsid w:val="00796EA8"/>
    <w:rsid w:val="00797E7E"/>
    <w:rsid w:val="007A0EA8"/>
    <w:rsid w:val="007A46C8"/>
    <w:rsid w:val="007A7022"/>
    <w:rsid w:val="007B0EBB"/>
    <w:rsid w:val="007B11E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17D"/>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7091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9E312D3B-9BF7-48E9-AB04-4734B06CD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2A34C-18BD-4817-B286-80919CCB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5646</Words>
  <Characters>32185</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2020-12-02T07:03:00Z</cp:lastPrinted>
  <dcterms:created xsi:type="dcterms:W3CDTF">2021-03-01T12:01:00Z</dcterms:created>
  <dcterms:modified xsi:type="dcterms:W3CDTF">2021-03-01T12:01:00Z</dcterms:modified>
</cp:coreProperties>
</file>